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2"/>
        </w:tabs>
        <w:jc w:val="both"/>
        <w:rPr>
          <w:rFonts w:hint="default" w:ascii="Arial" w:hAnsi="Arial" w:eastAsia="宋体"/>
          <w:b/>
          <w:i/>
          <w:color w:val="auto"/>
          <w:sz w:val="24"/>
          <w:lang w:val="en-US" w:eastAsia="zh-CN"/>
        </w:rPr>
      </w:pPr>
      <w:r>
        <w:rPr>
          <w:rFonts w:ascii="Arial" w:hAnsi="Arial" w:cs="Arial"/>
          <w:b/>
          <w:color w:val="auto"/>
          <w:sz w:val="24"/>
        </w:rPr>
        <w:t xml:space="preserve">3GPP TSG-RAN WG4 Meeting </w:t>
      </w:r>
      <w:r>
        <w:rPr>
          <w:rFonts w:hint="eastAsia" w:ascii="Arial" w:hAnsi="Arial" w:cs="Arial"/>
          <w:b/>
          <w:color w:val="auto"/>
          <w:sz w:val="24"/>
          <w:lang w:eastAsia="zh-CN"/>
        </w:rPr>
        <w:t>#</w:t>
      </w:r>
      <w:r>
        <w:rPr>
          <w:rFonts w:hint="eastAsia" w:ascii="Arial" w:hAnsi="Arial" w:cs="Arial"/>
          <w:b/>
          <w:color w:val="auto"/>
          <w:sz w:val="24"/>
          <w:lang w:val="en-US" w:eastAsia="zh-CN"/>
        </w:rPr>
        <w:t>109</w:t>
      </w:r>
      <w:r>
        <w:rPr>
          <w:rFonts w:ascii="Arial" w:hAnsi="Arial" w:eastAsia="MS Mincho"/>
          <w:b/>
          <w:color w:val="auto"/>
          <w:sz w:val="24"/>
        </w:rPr>
        <w:tab/>
      </w:r>
      <w:r>
        <w:rPr>
          <w:rFonts w:ascii="Arial" w:hAnsi="Arial"/>
          <w:b/>
          <w:color w:val="auto"/>
          <w:sz w:val="24"/>
          <w:lang w:eastAsia="zh-CN"/>
        </w:rPr>
        <w:t>R4-2</w:t>
      </w:r>
      <w:r>
        <w:rPr>
          <w:rFonts w:hint="eastAsia" w:ascii="Arial" w:hAnsi="Arial"/>
          <w:b/>
          <w:color w:val="auto"/>
          <w:sz w:val="24"/>
          <w:lang w:val="en-US" w:eastAsia="zh-CN"/>
        </w:rPr>
        <w:t>320427</w:t>
      </w:r>
    </w:p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eastAsia="宋体"/>
          <w:b/>
          <w:color w:val="auto"/>
          <w:sz w:val="24"/>
          <w:lang w:val="en-GB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Chicago, US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, Nov 13 - 17</w:t>
      </w:r>
      <w:r>
        <w:rPr>
          <w:rFonts w:ascii="Arial" w:hAnsi="Arial" w:eastAsia="宋体"/>
          <w:b/>
          <w:color w:val="auto"/>
          <w:sz w:val="24"/>
          <w:lang w:eastAsia="zh-CN"/>
        </w:rPr>
        <w:t>, 202</w:t>
      </w:r>
      <w:r>
        <w:rPr>
          <w:rFonts w:hint="eastAsia" w:ascii="Arial" w:hAnsi="Arial" w:eastAsia="宋体"/>
          <w:b/>
          <w:color w:val="auto"/>
          <w:sz w:val="24"/>
          <w:lang w:val="en-US" w:eastAsia="zh-CN"/>
        </w:rPr>
        <w:t>3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color w:val="auto"/>
          <w:sz w:val="24"/>
          <w:lang w:val="en-GB" w:eastAsia="zh-CN"/>
        </w:rPr>
      </w:pPr>
    </w:p>
    <w:p>
      <w:pPr>
        <w:pStyle w:val="14"/>
        <w:tabs>
          <w:tab w:val="left" w:pos="1800"/>
          <w:tab w:val="clear" w:pos="4536"/>
        </w:tabs>
        <w:spacing w:after="60"/>
        <w:ind w:left="1800" w:hanging="1800"/>
        <w:jc w:val="both"/>
        <w:rPr>
          <w:rFonts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Source:</w:t>
      </w:r>
      <w:r>
        <w:rPr>
          <w:color w:val="auto"/>
          <w:sz w:val="24"/>
        </w:rPr>
        <w:tab/>
      </w:r>
      <w:r>
        <w:rPr>
          <w:rFonts w:eastAsia="宋体"/>
          <w:color w:val="auto"/>
          <w:sz w:val="24"/>
          <w:lang w:val="en-US" w:eastAsia="zh-CN"/>
        </w:rPr>
        <w:t>ZTE Corporation</w:t>
      </w:r>
    </w:p>
    <w:p>
      <w:pPr>
        <w:pStyle w:val="14"/>
        <w:tabs>
          <w:tab w:val="left" w:pos="1800"/>
          <w:tab w:val="clear" w:pos="4536"/>
        </w:tabs>
        <w:spacing w:after="60"/>
        <w:ind w:left="1807" w:hanging="1807" w:hangingChars="750"/>
        <w:rPr>
          <w:rFonts w:hint="default"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Title:</w:t>
      </w:r>
      <w:r>
        <w:rPr>
          <w:color w:val="auto"/>
          <w:sz w:val="24"/>
        </w:rPr>
        <w:tab/>
      </w:r>
      <w:r>
        <w:rPr>
          <w:rFonts w:hint="eastAsia" w:eastAsia="宋体"/>
          <w:color w:val="auto"/>
          <w:sz w:val="24"/>
          <w:lang w:val="en-US" w:eastAsia="zh-CN"/>
        </w:rPr>
        <w:t>Discussion on receiving time difference</w:t>
      </w:r>
    </w:p>
    <w:p>
      <w:pPr>
        <w:pStyle w:val="14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rPr>
          <w:rFonts w:hint="default"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Agenda Item:</w:t>
      </w:r>
      <w:r>
        <w:rPr>
          <w:color w:val="auto"/>
          <w:sz w:val="24"/>
        </w:rPr>
        <w:tab/>
      </w:r>
      <w:r>
        <w:rPr>
          <w:rFonts w:hint="eastAsia" w:eastAsia="宋体"/>
          <w:color w:val="auto"/>
          <w:sz w:val="24"/>
          <w:highlight w:val="none"/>
          <w:lang w:val="en-US" w:eastAsia="zh-CN"/>
        </w:rPr>
        <w:t>8.7.2.6</w:t>
      </w:r>
      <w:bookmarkStart w:id="0" w:name="_GoBack"/>
      <w:bookmarkEnd w:id="0"/>
    </w:p>
    <w:p>
      <w:pPr>
        <w:pStyle w:val="14"/>
        <w:tabs>
          <w:tab w:val="left" w:pos="1800"/>
        </w:tabs>
        <w:snapToGrid w:val="0"/>
        <w:spacing w:after="240"/>
        <w:jc w:val="both"/>
        <w:rPr>
          <w:rFonts w:hint="default"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Document for:</w:t>
      </w:r>
      <w:r>
        <w:rPr>
          <w:color w:val="auto"/>
          <w:sz w:val="24"/>
        </w:rPr>
        <w:tab/>
      </w:r>
      <w:r>
        <w:rPr>
          <w:rFonts w:hint="eastAsia" w:eastAsia="宋体"/>
          <w:color w:val="auto"/>
          <w:sz w:val="24"/>
          <w:lang w:val="en-US" w:eastAsia="zh-CN"/>
        </w:rPr>
        <w:t>Approval</w:t>
      </w:r>
    </w:p>
    <w:p>
      <w:pPr>
        <w:pStyle w:val="2"/>
        <w:widowControl w:val="0"/>
        <w:numPr>
          <w:ilvl w:val="0"/>
          <w:numId w:val="4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t>Introduction</w:t>
      </w:r>
    </w:p>
    <w:p>
      <w:pPr>
        <w:pStyle w:val="8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rFonts w:hint="eastAsia" w:eastAsia="宋体"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color w:val="auto"/>
          <w:sz w:val="20"/>
          <w:szCs w:val="20"/>
          <w:lang w:val="en-US" w:eastAsia="zh-CN"/>
        </w:rPr>
        <w:t xml:space="preserve">In last RAN4 meeting, RAN4 has discussed the receiving time difference for multi-Rx. Some controversial issues were concluded with multiple options in [1]. 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b/>
                <w:color w:val="auto"/>
                <w:u w:val="single"/>
                <w:lang w:eastAsia="ko-KR"/>
              </w:rPr>
            </w:pPr>
            <w:r>
              <w:rPr>
                <w:b/>
                <w:color w:val="auto"/>
                <w:u w:val="single"/>
                <w:lang w:eastAsia="ko-KR"/>
              </w:rPr>
              <w:t>Issue 3-1-1: Whether L1-RSRP GBBR requirements should be extended to RTD &gt;CP if the UE supports RTD&gt;CP capability</w:t>
            </w:r>
          </w:p>
          <w:p>
            <w:pPr>
              <w:pStyle w:val="28"/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720" w:firstLineChars="0"/>
              <w:textAlignment w:val="auto"/>
              <w:rPr>
                <w:rFonts w:eastAsia="宋体"/>
                <w:color w:val="auto"/>
                <w:szCs w:val="24"/>
                <w:lang w:eastAsia="zh-CN"/>
              </w:rPr>
            </w:pPr>
            <w:r>
              <w:rPr>
                <w:color w:val="auto"/>
                <w:szCs w:val="24"/>
                <w:lang w:eastAsia="zh-CN"/>
              </w:rPr>
              <w:t>Way forward: Companies are requested to bring further analysis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i/>
                <w:color w:val="auto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b/>
                <w:color w:val="auto"/>
                <w:u w:val="single"/>
                <w:lang w:eastAsia="ko-KR"/>
              </w:rPr>
            </w:pPr>
            <w:r>
              <w:rPr>
                <w:b/>
                <w:color w:val="auto"/>
                <w:u w:val="single"/>
                <w:lang w:eastAsia="ko-KR"/>
              </w:rPr>
              <w:t>Issue 3-1-</w:t>
            </w:r>
            <w:r>
              <w:rPr>
                <w:rFonts w:hint="eastAsia" w:eastAsia="宋体"/>
                <w:b/>
                <w:color w:val="auto"/>
                <w:u w:val="single"/>
                <w:lang w:val="en-US" w:eastAsia="zh-CN"/>
              </w:rPr>
              <w:t>2</w:t>
            </w:r>
            <w:r>
              <w:rPr>
                <w:b/>
                <w:color w:val="auto"/>
                <w:u w:val="single"/>
                <w:lang w:eastAsia="ko-KR"/>
              </w:rPr>
              <w:t>: How to capture RTD applicability conditions in multi-RX WI</w:t>
            </w:r>
          </w:p>
          <w:p>
            <w:pPr>
              <w:pStyle w:val="28"/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720" w:firstLineChars="0"/>
              <w:textAlignment w:val="auto"/>
              <w:rPr>
                <w:rFonts w:eastAsia="宋体"/>
                <w:color w:val="auto"/>
                <w:szCs w:val="24"/>
                <w:lang w:eastAsia="zh-CN"/>
              </w:rPr>
            </w:pPr>
            <w:r>
              <w:rPr>
                <w:rFonts w:eastAsia="宋体"/>
                <w:color w:val="auto"/>
                <w:szCs w:val="24"/>
                <w:lang w:eastAsia="zh-CN"/>
              </w:rPr>
              <w:t>Way forward: Further discuss in next meeting.</w:t>
            </w:r>
          </w:p>
          <w:p>
            <w:pPr>
              <w:pStyle w:val="28"/>
              <w:keepNext w:val="0"/>
              <w:keepLines w:val="0"/>
              <w:pageBreakBefore w:val="0"/>
              <w:numPr>
                <w:ilvl w:val="1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Chars="0"/>
              <w:textAlignment w:val="auto"/>
              <w:rPr>
                <w:rFonts w:eastAsia="宋体"/>
                <w:color w:val="auto"/>
                <w:szCs w:val="24"/>
                <w:lang w:eastAsia="zh-CN"/>
              </w:rPr>
            </w:pPr>
            <w:r>
              <w:rPr>
                <w:rFonts w:eastAsia="宋体"/>
                <w:color w:val="auto"/>
                <w:szCs w:val="24"/>
                <w:lang w:eastAsia="zh-CN"/>
              </w:rPr>
              <w:t>Option 1: This condition is mentioned for each relevant multi-RX RRM requirement such as scheduling/measurement restriction, dual TCI state switching, L1-RSRP for GBBR.</w:t>
            </w:r>
          </w:p>
          <w:p>
            <w:pPr>
              <w:pStyle w:val="28"/>
              <w:keepNext w:val="0"/>
              <w:keepLines w:val="0"/>
              <w:pageBreakBefore w:val="0"/>
              <w:numPr>
                <w:ilvl w:val="1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Chars="0"/>
              <w:textAlignment w:val="auto"/>
              <w:rPr>
                <w:rFonts w:hint="default" w:ascii="Times New Roman" w:hAnsi="Times New Roman" w:eastAsia="Times New Roman" w:cs="Times New Roman"/>
                <w:bCs/>
                <w:color w:val="auto"/>
                <w:kern w:val="0"/>
                <w:sz w:val="20"/>
                <w:szCs w:val="24"/>
                <w:lang w:val="en-US" w:eastAsia="zh-CN" w:bidi="ar-SA"/>
              </w:rPr>
            </w:pPr>
            <w:r>
              <w:rPr>
                <w:rFonts w:eastAsia="宋体"/>
                <w:color w:val="auto"/>
                <w:szCs w:val="24"/>
                <w:lang w:eastAsia="zh-CN"/>
              </w:rPr>
              <w:t>Option 2: In clause 3.6</w:t>
            </w:r>
            <w:r>
              <w:rPr>
                <w:rFonts w:eastAsia="宋体"/>
                <w:color w:val="auto"/>
                <w:szCs w:val="24"/>
                <w:lang w:eastAsia="zh-CN"/>
              </w:rPr>
              <w:tab/>
            </w:r>
            <w:r>
              <w:rPr>
                <w:rFonts w:eastAsia="宋体"/>
                <w:color w:val="auto"/>
                <w:szCs w:val="24"/>
                <w:lang w:eastAsia="zh-CN"/>
              </w:rPr>
              <w:t>“Applicability of requirements in this specification version,” it is stated that RTD &lt; CP as a condition for the relevant requirements to apply</w:t>
            </w:r>
          </w:p>
        </w:tc>
      </w:tr>
    </w:tbl>
    <w:p>
      <w:pPr>
        <w:pStyle w:val="8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rFonts w:hint="eastAsia" w:eastAsia="宋体"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color w:val="auto"/>
          <w:sz w:val="20"/>
          <w:szCs w:val="20"/>
          <w:lang w:val="en-US" w:eastAsia="zh-CN"/>
        </w:rPr>
        <w:t>In this document, we provide our views on these remaining issues.</w:t>
      </w:r>
    </w:p>
    <w:p>
      <w:pPr>
        <w:pStyle w:val="2"/>
        <w:widowControl w:val="0"/>
        <w:numPr>
          <w:ilvl w:val="0"/>
          <w:numId w:val="4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Discussion</w:t>
      </w:r>
    </w:p>
    <w:p>
      <w:pPr>
        <w:pStyle w:val="8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rFonts w:hint="eastAsia" w:eastAsia="宋体"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color w:val="auto"/>
          <w:sz w:val="20"/>
          <w:szCs w:val="20"/>
          <w:lang w:val="en-US" w:eastAsia="zh-CN"/>
        </w:rPr>
        <w:t>In previous meeting, RAN4 has approved the following agreements in terms of RTD constraint: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spacing w:after="120" w:line="240" w:lineRule="auto"/>
              <w:rPr>
                <w:bCs/>
                <w:szCs w:val="24"/>
                <w:lang w:val="en-US"/>
              </w:rPr>
            </w:pPr>
            <w:r>
              <w:rPr>
                <w:bCs/>
                <w:szCs w:val="24"/>
                <w:highlight w:val="green"/>
                <w:lang w:val="en-US"/>
              </w:rPr>
              <w:t>Agreement</w:t>
            </w:r>
            <w:r>
              <w:rPr>
                <w:bCs/>
                <w:szCs w:val="24"/>
                <w:lang w:val="en-US"/>
              </w:rPr>
              <w:t>:</w:t>
            </w:r>
          </w:p>
          <w:p>
            <w:pPr>
              <w:pStyle w:val="28"/>
              <w:numPr>
                <w:ilvl w:val="0"/>
                <w:numId w:val="5"/>
              </w:numPr>
              <w:autoSpaceDN w:val="0"/>
              <w:adjustRightInd w:val="0"/>
              <w:spacing w:line="240" w:lineRule="auto"/>
              <w:ind w:left="224" w:leftChars="0"/>
            </w:pPr>
            <w:r>
              <w:t>The requirements defined for multi-Rx are only applicable for receive timing difference (RTD) less than CP in Rel-18 multi-Rx WI.</w:t>
            </w:r>
          </w:p>
          <w:p>
            <w:pPr>
              <w:pStyle w:val="28"/>
              <w:numPr>
                <w:ilvl w:val="0"/>
                <w:numId w:val="5"/>
              </w:numPr>
              <w:autoSpaceDN w:val="0"/>
              <w:adjustRightInd w:val="0"/>
              <w:spacing w:line="240" w:lineRule="auto"/>
              <w:ind w:left="524" w:leftChars="0"/>
              <w:rPr>
                <w:rFonts w:hint="eastAsia" w:eastAsia="宋体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R</w:t>
            </w:r>
            <w:r>
              <w:t>AN4 understands it is important to support RTD&gt;CP and recommend to consider in future release.</w:t>
            </w:r>
          </w:p>
        </w:tc>
      </w:tr>
    </w:tbl>
    <w:p>
      <w:pPr>
        <w:pStyle w:val="8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rFonts w:hint="default" w:eastAsia="宋体"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color w:val="auto"/>
          <w:sz w:val="20"/>
          <w:szCs w:val="20"/>
          <w:lang w:val="en-US" w:eastAsia="zh-CN"/>
        </w:rPr>
        <w:t>The main intention is to avoid additional work for defining measurement/scheduling restriction considering the RTD &gt; CP case. While regarding the requirements of L1-RSRP measurement, for GBBR measurement, it has been assumed that a single panel is used at a time instance. So in fact whether RTD &gt; CP or not, which has no impact on the requirements of GBBR measurement. So regarding the applicability of GBBR measurement requirements, the condition of RTD &gt; CP can be ignored. Besides, the applicability of measurement/scheduling restriction should be constraint to the case of RTD &lt; CP.</w:t>
      </w:r>
    </w:p>
    <w:p>
      <w:pPr>
        <w:pStyle w:val="8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rFonts w:hint="eastAsia" w:eastAsia="宋体"/>
          <w:color w:val="auto"/>
          <w:sz w:val="20"/>
          <w:szCs w:val="20"/>
          <w:lang w:val="en-US" w:eastAsia="zh-CN"/>
        </w:rPr>
      </w:pP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>Proposal 1: The restriction of RTD &lt; CP is not set as the applicability condition of GBBR measurement requirements. Besides, the applicability of measurement/scheduling restriction should be constraint to the case of RTD &lt; CP.</w:t>
      </w:r>
    </w:p>
    <w:p>
      <w:pPr>
        <w:pStyle w:val="2"/>
        <w:widowControl w:val="0"/>
        <w:numPr>
          <w:ilvl w:val="0"/>
          <w:numId w:val="4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val="en-US" w:eastAsia="zh-CN"/>
        </w:rPr>
      </w:pPr>
      <w:r>
        <w:rPr>
          <w:rFonts w:eastAsia="宋体"/>
          <w:color w:val="auto"/>
          <w:lang w:val="en-US" w:eastAsia="zh-CN"/>
        </w:rPr>
        <w:t>Conclusion</w:t>
      </w:r>
    </w:p>
    <w:p>
      <w:pPr>
        <w:pStyle w:val="8"/>
        <w:tabs>
          <w:tab w:val="left" w:pos="226"/>
          <w:tab w:val="left" w:pos="284"/>
          <w:tab w:val="left" w:pos="5103"/>
        </w:tabs>
        <w:snapToGrid w:val="0"/>
        <w:rPr>
          <w:rFonts w:eastAsia="宋体"/>
          <w:bCs/>
          <w:color w:val="auto"/>
          <w:sz w:val="20"/>
          <w:szCs w:val="20"/>
          <w:lang w:val="en-GB" w:eastAsia="zh-CN"/>
        </w:rPr>
      </w:pPr>
      <w:r>
        <w:rPr>
          <w:rFonts w:eastAsia="宋体"/>
          <w:bCs/>
          <w:color w:val="auto"/>
          <w:sz w:val="20"/>
          <w:szCs w:val="20"/>
          <w:lang w:val="en-GB" w:eastAsia="zh-CN"/>
        </w:rPr>
        <w:t xml:space="preserve">In this </w:t>
      </w:r>
      <w:r>
        <w:rPr>
          <w:rFonts w:hint="eastAsia" w:eastAsia="宋体"/>
          <w:bCs/>
          <w:color w:val="auto"/>
          <w:sz w:val="20"/>
          <w:szCs w:val="20"/>
          <w:lang w:val="en-US" w:eastAsia="zh-CN"/>
        </w:rPr>
        <w:t>contribution</w:t>
      </w:r>
      <w:r>
        <w:rPr>
          <w:rFonts w:eastAsia="宋体"/>
          <w:bCs/>
          <w:color w:val="auto"/>
          <w:sz w:val="20"/>
          <w:szCs w:val="20"/>
          <w:lang w:val="en-GB" w:eastAsia="zh-CN"/>
        </w:rPr>
        <w:t>, we have the following proposal</w:t>
      </w:r>
      <w:r>
        <w:rPr>
          <w:rFonts w:hint="eastAsia" w:eastAsia="宋体"/>
          <w:bCs/>
          <w:color w:val="auto"/>
          <w:sz w:val="20"/>
          <w:szCs w:val="20"/>
          <w:lang w:val="en-US" w:eastAsia="zh-CN"/>
        </w:rPr>
        <w:t xml:space="preserve"> around the receiving time difference</w:t>
      </w:r>
      <w:r>
        <w:rPr>
          <w:rFonts w:eastAsia="宋体"/>
          <w:bCs/>
          <w:color w:val="auto"/>
          <w:sz w:val="20"/>
          <w:szCs w:val="20"/>
          <w:lang w:val="en-GB" w:eastAsia="zh-CN"/>
        </w:rPr>
        <w:t>:</w:t>
      </w:r>
    </w:p>
    <w:p>
      <w:pPr>
        <w:pStyle w:val="8"/>
        <w:tabs>
          <w:tab w:val="left" w:pos="226"/>
          <w:tab w:val="left" w:pos="284"/>
          <w:tab w:val="left" w:pos="5103"/>
        </w:tabs>
        <w:snapToGrid w:val="0"/>
        <w:spacing w:before="156" w:beforeLines="50"/>
        <w:rPr>
          <w:rFonts w:hint="eastAsia" w:eastAsia="宋体"/>
          <w:color w:val="auto"/>
          <w:sz w:val="20"/>
          <w:szCs w:val="20"/>
          <w:lang w:val="en-US" w:eastAsia="zh-CN"/>
        </w:rPr>
      </w:pPr>
      <w:r>
        <w:rPr>
          <w:rFonts w:hint="eastAsia" w:eastAsia="宋体" w:cs="Times New Roman"/>
          <w:b/>
          <w:bCs/>
          <w:color w:val="auto"/>
          <w:sz w:val="20"/>
          <w:szCs w:val="20"/>
          <w:highlight w:val="none"/>
          <w:lang w:val="en-US" w:eastAsia="zh-CN" w:bidi="ar-SA"/>
        </w:rPr>
        <w:t>Proposal 1: The restriction of RTD &lt; CP is not set as the applicability condition of GBBR measurement requirements. Besides, the applicability of measurement/scheduling restriction should be constraint to the case of RTD &lt; CP.</w:t>
      </w:r>
    </w:p>
    <w:p>
      <w:pPr>
        <w:pStyle w:val="2"/>
        <w:widowControl w:val="0"/>
        <w:numPr>
          <w:ilvl w:val="0"/>
          <w:numId w:val="4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Reference</w:t>
      </w:r>
    </w:p>
    <w:p>
      <w:pPr>
        <w:pStyle w:val="9"/>
        <w:numPr>
          <w:ilvl w:val="0"/>
          <w:numId w:val="6"/>
        </w:numPr>
        <w:ind w:leftChars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R4-2317427 </w:t>
      </w:r>
      <w:r>
        <w:rPr>
          <w:rFonts w:hint="default"/>
          <w:color w:val="auto"/>
          <w:highlight w:val="none"/>
          <w:lang w:val="en-US" w:eastAsia="zh-CN"/>
        </w:rPr>
        <w:t>“</w:t>
      </w:r>
      <w:r>
        <w:rPr>
          <w:rFonts w:hint="eastAsia"/>
          <w:color w:val="auto"/>
          <w:highlight w:val="none"/>
          <w:lang w:val="en-US" w:eastAsia="zh-CN"/>
        </w:rPr>
        <w:t>WF on FR2 multi-Rx chain DL reception (part2)</w:t>
      </w:r>
      <w:r>
        <w:rPr>
          <w:rFonts w:hint="default"/>
          <w:color w:val="auto"/>
          <w:highlight w:val="none"/>
          <w:lang w:val="en-US" w:eastAsia="zh-CN"/>
        </w:rPr>
        <w:t>”</w:t>
      </w:r>
      <w:r>
        <w:rPr>
          <w:rFonts w:hint="eastAsia"/>
          <w:color w:val="auto"/>
          <w:highlight w:val="none"/>
          <w:lang w:val="en-US" w:eastAsia="zh-CN"/>
        </w:rPr>
        <w:t>, Ericsson.</w:t>
      </w:r>
    </w:p>
    <w:p>
      <w:pPr>
        <w:pStyle w:val="9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</w:p>
    <w:p>
      <w:pPr>
        <w:pStyle w:val="9"/>
        <w:numPr>
          <w:ilvl w:val="0"/>
          <w:numId w:val="0"/>
        </w:numPr>
        <w:ind w:leftChars="0"/>
        <w:rPr>
          <w:rFonts w:hint="default" w:eastAsia="宋体"/>
          <w:color w:val="auto"/>
          <w:lang w:val="en-US" w:eastAsia="zh-CN"/>
        </w:rPr>
      </w:pP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E5EB3A"/>
    <w:multiLevelType w:val="singleLevel"/>
    <w:tmpl w:val="A8E5EB3A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42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tabs>
          <w:tab w:val="left" w:pos="-840"/>
        </w:tabs>
        <w:ind w:left="96" w:hanging="360"/>
      </w:pPr>
      <w:rPr>
        <w:rFonts w:hint="default" w:ascii="Symbol" w:hAnsi="Symbol"/>
      </w:rPr>
    </w:lvl>
    <w:lvl w:ilvl="1" w:tentative="0">
      <w:start w:val="1"/>
      <w:numFmt w:val="bullet"/>
      <w:pStyle w:val="58"/>
      <w:lvlText w:val="o"/>
      <w:lvlJc w:val="left"/>
      <w:pPr>
        <w:tabs>
          <w:tab w:val="left" w:pos="-840"/>
        </w:tabs>
        <w:ind w:left="81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840"/>
        </w:tabs>
        <w:ind w:left="153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840"/>
        </w:tabs>
        <w:ind w:left="225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840"/>
        </w:tabs>
        <w:ind w:left="297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840"/>
        </w:tabs>
        <w:ind w:left="369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840"/>
        </w:tabs>
        <w:ind w:left="441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840"/>
        </w:tabs>
        <w:ind w:left="513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840"/>
        </w:tabs>
        <w:ind w:left="5856" w:hanging="360"/>
      </w:pPr>
      <w:rPr>
        <w:rFonts w:hint="default" w:ascii="Wingdings" w:hAnsi="Wingdings"/>
      </w:rPr>
    </w:lvl>
  </w:abstractNum>
  <w:abstractNum w:abstractNumId="4">
    <w:nsid w:val="67267C66"/>
    <w:multiLevelType w:val="multilevel"/>
    <w:tmpl w:val="67267C66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>
    <w:nsid w:val="6B5B4F67"/>
    <w:multiLevelType w:val="multilevel"/>
    <w:tmpl w:val="6B5B4F67"/>
    <w:lvl w:ilvl="0" w:tentative="0">
      <w:start w:val="1"/>
      <w:numFmt w:val="decimal"/>
      <w:pStyle w:val="9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C58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735D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09DE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2EA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6F004C"/>
    <w:rsid w:val="01FD25E9"/>
    <w:rsid w:val="02122247"/>
    <w:rsid w:val="02150C3F"/>
    <w:rsid w:val="022C3A09"/>
    <w:rsid w:val="0246140E"/>
    <w:rsid w:val="028B6A1D"/>
    <w:rsid w:val="028F1C3E"/>
    <w:rsid w:val="037D0CB3"/>
    <w:rsid w:val="03D230A8"/>
    <w:rsid w:val="03D4720A"/>
    <w:rsid w:val="03E04DEA"/>
    <w:rsid w:val="04151694"/>
    <w:rsid w:val="04654053"/>
    <w:rsid w:val="04793516"/>
    <w:rsid w:val="047A3CFF"/>
    <w:rsid w:val="04885243"/>
    <w:rsid w:val="048E28D9"/>
    <w:rsid w:val="05317828"/>
    <w:rsid w:val="05477E90"/>
    <w:rsid w:val="05BB5AB9"/>
    <w:rsid w:val="05C42923"/>
    <w:rsid w:val="05F562DB"/>
    <w:rsid w:val="066F3C18"/>
    <w:rsid w:val="06963BA6"/>
    <w:rsid w:val="06965F3C"/>
    <w:rsid w:val="07CD3CDD"/>
    <w:rsid w:val="07ED21CA"/>
    <w:rsid w:val="084B363C"/>
    <w:rsid w:val="0855671D"/>
    <w:rsid w:val="089009EB"/>
    <w:rsid w:val="09716BCA"/>
    <w:rsid w:val="098C1CEA"/>
    <w:rsid w:val="09902DFD"/>
    <w:rsid w:val="09D64B23"/>
    <w:rsid w:val="09E644B8"/>
    <w:rsid w:val="0B12013A"/>
    <w:rsid w:val="0B12526E"/>
    <w:rsid w:val="0B1C5C6A"/>
    <w:rsid w:val="0B243EFB"/>
    <w:rsid w:val="0B3D3C2F"/>
    <w:rsid w:val="0B5D15B4"/>
    <w:rsid w:val="0B680E37"/>
    <w:rsid w:val="0BAC06FA"/>
    <w:rsid w:val="0BB0429A"/>
    <w:rsid w:val="0BFF5FC6"/>
    <w:rsid w:val="0C276675"/>
    <w:rsid w:val="0C394019"/>
    <w:rsid w:val="0EC91588"/>
    <w:rsid w:val="0F6C0B73"/>
    <w:rsid w:val="0F8009F9"/>
    <w:rsid w:val="10997F43"/>
    <w:rsid w:val="10DE7BAE"/>
    <w:rsid w:val="11023BFD"/>
    <w:rsid w:val="110404BB"/>
    <w:rsid w:val="111C20F6"/>
    <w:rsid w:val="116974AB"/>
    <w:rsid w:val="117E1CB2"/>
    <w:rsid w:val="11B9344A"/>
    <w:rsid w:val="11ED345F"/>
    <w:rsid w:val="11EE68B9"/>
    <w:rsid w:val="120774A3"/>
    <w:rsid w:val="12580C13"/>
    <w:rsid w:val="130B3696"/>
    <w:rsid w:val="14006D19"/>
    <w:rsid w:val="1414436B"/>
    <w:rsid w:val="14330E67"/>
    <w:rsid w:val="146C04F1"/>
    <w:rsid w:val="1481754F"/>
    <w:rsid w:val="148F5721"/>
    <w:rsid w:val="14AC57CD"/>
    <w:rsid w:val="14B14D17"/>
    <w:rsid w:val="15393625"/>
    <w:rsid w:val="15ED3E9B"/>
    <w:rsid w:val="15FB179E"/>
    <w:rsid w:val="164514BE"/>
    <w:rsid w:val="167821BF"/>
    <w:rsid w:val="170F06AA"/>
    <w:rsid w:val="17225508"/>
    <w:rsid w:val="180A6E32"/>
    <w:rsid w:val="18362E8E"/>
    <w:rsid w:val="183F2CD2"/>
    <w:rsid w:val="1856323E"/>
    <w:rsid w:val="187F54FA"/>
    <w:rsid w:val="18892FF8"/>
    <w:rsid w:val="18AF55E3"/>
    <w:rsid w:val="18B1519A"/>
    <w:rsid w:val="18CD0507"/>
    <w:rsid w:val="195D7D48"/>
    <w:rsid w:val="19852D03"/>
    <w:rsid w:val="1A6F1A83"/>
    <w:rsid w:val="1AD01A1B"/>
    <w:rsid w:val="1B24186C"/>
    <w:rsid w:val="1B4C5221"/>
    <w:rsid w:val="1B61065A"/>
    <w:rsid w:val="1BBF3927"/>
    <w:rsid w:val="1BF813DF"/>
    <w:rsid w:val="1C177B08"/>
    <w:rsid w:val="1C397865"/>
    <w:rsid w:val="1C647BBB"/>
    <w:rsid w:val="1C9001C6"/>
    <w:rsid w:val="1CBA2101"/>
    <w:rsid w:val="1D0573D7"/>
    <w:rsid w:val="1D153DC4"/>
    <w:rsid w:val="1D223E0B"/>
    <w:rsid w:val="1D3A54CD"/>
    <w:rsid w:val="1DF33EB1"/>
    <w:rsid w:val="1E132F88"/>
    <w:rsid w:val="1E2867E9"/>
    <w:rsid w:val="1E853F6F"/>
    <w:rsid w:val="1E9C7BCC"/>
    <w:rsid w:val="1EB86E7D"/>
    <w:rsid w:val="1ECC1E3C"/>
    <w:rsid w:val="1FC75F31"/>
    <w:rsid w:val="1FFD4083"/>
    <w:rsid w:val="20122D1B"/>
    <w:rsid w:val="202F3D4C"/>
    <w:rsid w:val="20874C29"/>
    <w:rsid w:val="20E2786E"/>
    <w:rsid w:val="21014C39"/>
    <w:rsid w:val="21045DF0"/>
    <w:rsid w:val="21244EB1"/>
    <w:rsid w:val="213964D8"/>
    <w:rsid w:val="21595D04"/>
    <w:rsid w:val="21835807"/>
    <w:rsid w:val="21F13629"/>
    <w:rsid w:val="2305377E"/>
    <w:rsid w:val="2319700A"/>
    <w:rsid w:val="231A76D5"/>
    <w:rsid w:val="237746D1"/>
    <w:rsid w:val="23BE460D"/>
    <w:rsid w:val="24122135"/>
    <w:rsid w:val="24D4257E"/>
    <w:rsid w:val="24F5519F"/>
    <w:rsid w:val="25253F04"/>
    <w:rsid w:val="2572202B"/>
    <w:rsid w:val="25AE612B"/>
    <w:rsid w:val="25B54731"/>
    <w:rsid w:val="25E7100D"/>
    <w:rsid w:val="2605683C"/>
    <w:rsid w:val="263604A5"/>
    <w:rsid w:val="26661176"/>
    <w:rsid w:val="26BB1419"/>
    <w:rsid w:val="27315D1D"/>
    <w:rsid w:val="27B748AA"/>
    <w:rsid w:val="27CB4CB9"/>
    <w:rsid w:val="27CC4452"/>
    <w:rsid w:val="28033332"/>
    <w:rsid w:val="281C2F58"/>
    <w:rsid w:val="28365E09"/>
    <w:rsid w:val="2844775F"/>
    <w:rsid w:val="28A67133"/>
    <w:rsid w:val="292D5BF2"/>
    <w:rsid w:val="292F6239"/>
    <w:rsid w:val="29642C4B"/>
    <w:rsid w:val="29A66B9A"/>
    <w:rsid w:val="2A34628C"/>
    <w:rsid w:val="2A724D05"/>
    <w:rsid w:val="2A7E505C"/>
    <w:rsid w:val="2AC85686"/>
    <w:rsid w:val="2AD04B5F"/>
    <w:rsid w:val="2B39549B"/>
    <w:rsid w:val="2BA94DC7"/>
    <w:rsid w:val="2BC05B2C"/>
    <w:rsid w:val="2BD617C5"/>
    <w:rsid w:val="2C112837"/>
    <w:rsid w:val="2C360608"/>
    <w:rsid w:val="2D3B30E1"/>
    <w:rsid w:val="2E014790"/>
    <w:rsid w:val="2E3C43E6"/>
    <w:rsid w:val="2E3D3784"/>
    <w:rsid w:val="2EAE66A3"/>
    <w:rsid w:val="2EE77680"/>
    <w:rsid w:val="2F2F0FC8"/>
    <w:rsid w:val="2F591020"/>
    <w:rsid w:val="2F8E63A4"/>
    <w:rsid w:val="301C6BB6"/>
    <w:rsid w:val="30723652"/>
    <w:rsid w:val="30766FB2"/>
    <w:rsid w:val="31687544"/>
    <w:rsid w:val="319708F2"/>
    <w:rsid w:val="31B14C9E"/>
    <w:rsid w:val="31FE2981"/>
    <w:rsid w:val="32980539"/>
    <w:rsid w:val="33170395"/>
    <w:rsid w:val="33C522D7"/>
    <w:rsid w:val="33EE09D6"/>
    <w:rsid w:val="33F228A5"/>
    <w:rsid w:val="347C19A0"/>
    <w:rsid w:val="34807672"/>
    <w:rsid w:val="35135B80"/>
    <w:rsid w:val="351B1E30"/>
    <w:rsid w:val="358E5935"/>
    <w:rsid w:val="35B06C6A"/>
    <w:rsid w:val="36941AA2"/>
    <w:rsid w:val="36D37423"/>
    <w:rsid w:val="379D23F9"/>
    <w:rsid w:val="37E74183"/>
    <w:rsid w:val="39110091"/>
    <w:rsid w:val="3A185287"/>
    <w:rsid w:val="3A1F46B8"/>
    <w:rsid w:val="3A692CD0"/>
    <w:rsid w:val="3B270929"/>
    <w:rsid w:val="3B3D5571"/>
    <w:rsid w:val="3B5D276F"/>
    <w:rsid w:val="3B673620"/>
    <w:rsid w:val="3B9A1F29"/>
    <w:rsid w:val="3BAA6FE7"/>
    <w:rsid w:val="3BE160AB"/>
    <w:rsid w:val="3BEA7D63"/>
    <w:rsid w:val="3CE4646B"/>
    <w:rsid w:val="3D5E7AA8"/>
    <w:rsid w:val="3D6F2596"/>
    <w:rsid w:val="3F5E503E"/>
    <w:rsid w:val="3FA3488F"/>
    <w:rsid w:val="40060459"/>
    <w:rsid w:val="405F175E"/>
    <w:rsid w:val="40737877"/>
    <w:rsid w:val="40A811A8"/>
    <w:rsid w:val="40C765F3"/>
    <w:rsid w:val="41C755BE"/>
    <w:rsid w:val="41EF183A"/>
    <w:rsid w:val="42424160"/>
    <w:rsid w:val="42B16B47"/>
    <w:rsid w:val="42F869D2"/>
    <w:rsid w:val="43553536"/>
    <w:rsid w:val="43AD068D"/>
    <w:rsid w:val="44972678"/>
    <w:rsid w:val="44C465F8"/>
    <w:rsid w:val="44D2042F"/>
    <w:rsid w:val="44E65610"/>
    <w:rsid w:val="451632B9"/>
    <w:rsid w:val="45394C2C"/>
    <w:rsid w:val="45906394"/>
    <w:rsid w:val="45D40A2F"/>
    <w:rsid w:val="45F60A50"/>
    <w:rsid w:val="46142D0C"/>
    <w:rsid w:val="463A5AC1"/>
    <w:rsid w:val="46970A81"/>
    <w:rsid w:val="46B036BF"/>
    <w:rsid w:val="46F866D1"/>
    <w:rsid w:val="47282363"/>
    <w:rsid w:val="476B3528"/>
    <w:rsid w:val="47C726B0"/>
    <w:rsid w:val="49DC4EAC"/>
    <w:rsid w:val="49E55BC5"/>
    <w:rsid w:val="4A03035B"/>
    <w:rsid w:val="4C1C63D6"/>
    <w:rsid w:val="4C864A35"/>
    <w:rsid w:val="4C9C556F"/>
    <w:rsid w:val="4CA20EC7"/>
    <w:rsid w:val="4E015C76"/>
    <w:rsid w:val="4E310026"/>
    <w:rsid w:val="4E4A2325"/>
    <w:rsid w:val="4E593663"/>
    <w:rsid w:val="4E702749"/>
    <w:rsid w:val="4EC85323"/>
    <w:rsid w:val="4EDB3464"/>
    <w:rsid w:val="4FA2192A"/>
    <w:rsid w:val="4FE973EB"/>
    <w:rsid w:val="501A6C55"/>
    <w:rsid w:val="50496DCB"/>
    <w:rsid w:val="50AD31B7"/>
    <w:rsid w:val="511F73F9"/>
    <w:rsid w:val="51234069"/>
    <w:rsid w:val="51B14BED"/>
    <w:rsid w:val="52526454"/>
    <w:rsid w:val="525C1CEF"/>
    <w:rsid w:val="528B5767"/>
    <w:rsid w:val="52A77D4F"/>
    <w:rsid w:val="52D33625"/>
    <w:rsid w:val="52FD1C01"/>
    <w:rsid w:val="52FD33B4"/>
    <w:rsid w:val="536E37BE"/>
    <w:rsid w:val="5372021A"/>
    <w:rsid w:val="53A3105E"/>
    <w:rsid w:val="53C64B93"/>
    <w:rsid w:val="548A6C60"/>
    <w:rsid w:val="54A111AB"/>
    <w:rsid w:val="54E07F19"/>
    <w:rsid w:val="553B417D"/>
    <w:rsid w:val="55B1164D"/>
    <w:rsid w:val="55B4735E"/>
    <w:rsid w:val="55BB221D"/>
    <w:rsid w:val="55D64ABB"/>
    <w:rsid w:val="56371459"/>
    <w:rsid w:val="56484633"/>
    <w:rsid w:val="574B3EB2"/>
    <w:rsid w:val="574F134B"/>
    <w:rsid w:val="577823B2"/>
    <w:rsid w:val="58D0053D"/>
    <w:rsid w:val="59064002"/>
    <w:rsid w:val="59303800"/>
    <w:rsid w:val="596A1AB3"/>
    <w:rsid w:val="598C40A0"/>
    <w:rsid w:val="59DA647E"/>
    <w:rsid w:val="59EF102F"/>
    <w:rsid w:val="5A4D0D18"/>
    <w:rsid w:val="5A556E1A"/>
    <w:rsid w:val="5ABD6B5A"/>
    <w:rsid w:val="5AD04359"/>
    <w:rsid w:val="5B655329"/>
    <w:rsid w:val="5C1166E3"/>
    <w:rsid w:val="5C204854"/>
    <w:rsid w:val="5C811C94"/>
    <w:rsid w:val="5CEA5E4B"/>
    <w:rsid w:val="5D011808"/>
    <w:rsid w:val="5DE74DD6"/>
    <w:rsid w:val="5E2864D0"/>
    <w:rsid w:val="5E494511"/>
    <w:rsid w:val="5E617EB9"/>
    <w:rsid w:val="5EB44FC0"/>
    <w:rsid w:val="5EB81F13"/>
    <w:rsid w:val="5EDA64BC"/>
    <w:rsid w:val="5FBA395F"/>
    <w:rsid w:val="5FCA785E"/>
    <w:rsid w:val="60B92183"/>
    <w:rsid w:val="60EC2CBA"/>
    <w:rsid w:val="61661B78"/>
    <w:rsid w:val="61CC2D28"/>
    <w:rsid w:val="62DE3B93"/>
    <w:rsid w:val="630C63B9"/>
    <w:rsid w:val="63447B86"/>
    <w:rsid w:val="63454F29"/>
    <w:rsid w:val="635902CD"/>
    <w:rsid w:val="63A847E0"/>
    <w:rsid w:val="642A3E76"/>
    <w:rsid w:val="645E1DDB"/>
    <w:rsid w:val="64706BBE"/>
    <w:rsid w:val="64F2095B"/>
    <w:rsid w:val="65267327"/>
    <w:rsid w:val="65C60E57"/>
    <w:rsid w:val="65D63F94"/>
    <w:rsid w:val="66036AF7"/>
    <w:rsid w:val="67A858DB"/>
    <w:rsid w:val="67BC700D"/>
    <w:rsid w:val="67FE4166"/>
    <w:rsid w:val="68AD2162"/>
    <w:rsid w:val="68C401C3"/>
    <w:rsid w:val="69045D7F"/>
    <w:rsid w:val="693027BF"/>
    <w:rsid w:val="695D64DC"/>
    <w:rsid w:val="69686213"/>
    <w:rsid w:val="6968769B"/>
    <w:rsid w:val="69831B57"/>
    <w:rsid w:val="69A833BD"/>
    <w:rsid w:val="69FB3F8F"/>
    <w:rsid w:val="6A5D78D5"/>
    <w:rsid w:val="6A85354A"/>
    <w:rsid w:val="6B5A3793"/>
    <w:rsid w:val="6C4E0A66"/>
    <w:rsid w:val="6C8E0C06"/>
    <w:rsid w:val="6CEA79B8"/>
    <w:rsid w:val="6D566F0F"/>
    <w:rsid w:val="6D836F72"/>
    <w:rsid w:val="6DC2026F"/>
    <w:rsid w:val="6DDE3DAF"/>
    <w:rsid w:val="6E281030"/>
    <w:rsid w:val="6E2C7D5B"/>
    <w:rsid w:val="6E3241BE"/>
    <w:rsid w:val="6EB97A9D"/>
    <w:rsid w:val="6EF10A90"/>
    <w:rsid w:val="6FD45BF8"/>
    <w:rsid w:val="6FFF1868"/>
    <w:rsid w:val="70332195"/>
    <w:rsid w:val="70A20D5A"/>
    <w:rsid w:val="715037EE"/>
    <w:rsid w:val="71507435"/>
    <w:rsid w:val="715F4C2D"/>
    <w:rsid w:val="721C3FA1"/>
    <w:rsid w:val="722F78FB"/>
    <w:rsid w:val="723D67C5"/>
    <w:rsid w:val="7250627B"/>
    <w:rsid w:val="72BF60CA"/>
    <w:rsid w:val="72C06C1D"/>
    <w:rsid w:val="72F41282"/>
    <w:rsid w:val="733D0D32"/>
    <w:rsid w:val="73D411F1"/>
    <w:rsid w:val="74165422"/>
    <w:rsid w:val="74E63B01"/>
    <w:rsid w:val="753811DE"/>
    <w:rsid w:val="7566040A"/>
    <w:rsid w:val="757733D9"/>
    <w:rsid w:val="75A7114C"/>
    <w:rsid w:val="75BE67D4"/>
    <w:rsid w:val="75C2004C"/>
    <w:rsid w:val="75C759C1"/>
    <w:rsid w:val="75EF0B62"/>
    <w:rsid w:val="760F5DAE"/>
    <w:rsid w:val="762D64F3"/>
    <w:rsid w:val="763E0D7C"/>
    <w:rsid w:val="76761433"/>
    <w:rsid w:val="767E7EFF"/>
    <w:rsid w:val="76C20482"/>
    <w:rsid w:val="775B4604"/>
    <w:rsid w:val="77B55917"/>
    <w:rsid w:val="77C067C3"/>
    <w:rsid w:val="77EA64D7"/>
    <w:rsid w:val="78911E31"/>
    <w:rsid w:val="78A33286"/>
    <w:rsid w:val="7922350F"/>
    <w:rsid w:val="792B5470"/>
    <w:rsid w:val="79762E65"/>
    <w:rsid w:val="79C637D8"/>
    <w:rsid w:val="7A7F40B1"/>
    <w:rsid w:val="7A9367CB"/>
    <w:rsid w:val="7AA10DE7"/>
    <w:rsid w:val="7AF22571"/>
    <w:rsid w:val="7B626FA0"/>
    <w:rsid w:val="7B69224B"/>
    <w:rsid w:val="7B6E5110"/>
    <w:rsid w:val="7BE80F25"/>
    <w:rsid w:val="7C036618"/>
    <w:rsid w:val="7C1C35A7"/>
    <w:rsid w:val="7C45431D"/>
    <w:rsid w:val="7D243E1C"/>
    <w:rsid w:val="7D3219D5"/>
    <w:rsid w:val="7DDD0501"/>
    <w:rsid w:val="7DE51372"/>
    <w:rsid w:val="7E3F4005"/>
    <w:rsid w:val="7E5E590F"/>
    <w:rsid w:val="7E935AFB"/>
    <w:rsid w:val="7EAF1137"/>
    <w:rsid w:val="7F2B7B96"/>
    <w:rsid w:val="7FC90A85"/>
    <w:rsid w:val="7FD02878"/>
    <w:rsid w:val="7FF73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2"/>
    <w:qFormat/>
    <w:uiPriority w:val="0"/>
    <w:pPr>
      <w:keepNext/>
      <w:spacing w:before="240" w:after="60"/>
      <w:outlineLvl w:val="1"/>
    </w:pPr>
    <w:rPr>
      <w:rFonts w:ascii="Helvetica" w:hAnsi="Helvetica" w:eastAsia="MS Mincho"/>
      <w:iCs/>
      <w:szCs w:val="28"/>
      <w:lang w:val="zh-CN"/>
    </w:rPr>
  </w:style>
  <w:style w:type="paragraph" w:styleId="4">
    <w:name w:val="heading 3"/>
    <w:basedOn w:val="3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character" w:default="1" w:styleId="18">
    <w:name w:val="Default Paragraph Font"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6">
    <w:name w:val="Document Map"/>
    <w:basedOn w:val="1"/>
    <w:link w:val="29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7">
    <w:name w:val="annotation text"/>
    <w:basedOn w:val="1"/>
    <w:semiHidden/>
    <w:unhideWhenUsed/>
    <w:qFormat/>
    <w:uiPriority w:val="0"/>
    <w:pPr>
      <w:jc w:val="left"/>
    </w:pPr>
  </w:style>
  <w:style w:type="paragraph" w:styleId="8">
    <w:name w:val="Body Text"/>
    <w:basedOn w:val="1"/>
    <w:link w:val="23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9">
    <w:name w:val="List 2"/>
    <w:basedOn w:val="10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0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1">
    <w:name w:val="Date"/>
    <w:basedOn w:val="1"/>
    <w:next w:val="1"/>
    <w:link w:val="46"/>
    <w:semiHidden/>
    <w:unhideWhenUsed/>
    <w:qFormat/>
    <w:uiPriority w:val="99"/>
    <w:pPr>
      <w:ind w:left="100" w:leftChars="2500"/>
    </w:pPr>
  </w:style>
  <w:style w:type="paragraph" w:styleId="12">
    <w:name w:val="Balloon Text"/>
    <w:basedOn w:val="1"/>
    <w:link w:val="27"/>
    <w:semiHidden/>
    <w:unhideWhenUsed/>
    <w:qFormat/>
    <w:uiPriority w:val="99"/>
    <w:rPr>
      <w:sz w:val="18"/>
      <w:szCs w:val="18"/>
      <w:lang w:val="zh-CN"/>
    </w:rPr>
  </w:style>
  <w:style w:type="paragraph" w:styleId="13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4">
    <w:name w:val="header"/>
    <w:basedOn w:val="1"/>
    <w:link w:val="24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5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table" w:styleId="17">
    <w:name w:val="Table Grid"/>
    <w:basedOn w:val="1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page number"/>
    <w:basedOn w:val="18"/>
    <w:semiHidden/>
    <w:qFormat/>
    <w:uiPriority w:val="0"/>
  </w:style>
  <w:style w:type="character" w:styleId="20">
    <w:name w:val="Hyperlink"/>
    <w:qFormat/>
    <w:uiPriority w:val="99"/>
    <w:rPr>
      <w:color w:val="0000FF"/>
      <w:u w:val="single"/>
    </w:rPr>
  </w:style>
  <w:style w:type="character" w:customStyle="1" w:styleId="21">
    <w:name w:val="Heading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2">
    <w:name w:val="Heading 2 Char1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3">
    <w:name w:val="Body Text Char"/>
    <w:link w:val="8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4">
    <w:name w:val="Header Char"/>
    <w:link w:val="14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5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6">
    <w:name w:val="Footer Char"/>
    <w:link w:val="13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7">
    <w:name w:val="Balloon Text Char"/>
    <w:link w:val="12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8">
    <w:name w:val="List Paragraph"/>
    <w:basedOn w:val="1"/>
    <w:link w:val="44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29">
    <w:name w:val="Document Map Char"/>
    <w:link w:val="6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0">
    <w:name w:val="B1"/>
    <w:basedOn w:val="10"/>
    <w:link w:val="31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1">
    <w:name w:val="B1 (文字)"/>
    <w:link w:val="3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2">
    <w:name w:val="B1 Char1"/>
    <w:qFormat/>
    <w:uiPriority w:val="0"/>
    <w:rPr>
      <w:lang w:val="en-GB" w:eastAsia="en-US"/>
    </w:rPr>
  </w:style>
  <w:style w:type="paragraph" w:customStyle="1" w:styleId="33">
    <w:name w:val="TAH"/>
    <w:basedOn w:val="34"/>
    <w:link w:val="39"/>
    <w:qFormat/>
    <w:uiPriority w:val="0"/>
    <w:rPr>
      <w:b/>
    </w:rPr>
  </w:style>
  <w:style w:type="paragraph" w:customStyle="1" w:styleId="34">
    <w:name w:val="TAC"/>
    <w:basedOn w:val="35"/>
    <w:link w:val="38"/>
    <w:qFormat/>
    <w:uiPriority w:val="0"/>
    <w:pPr>
      <w:keepNext/>
      <w:keepLines/>
      <w:jc w:val="center"/>
    </w:pPr>
    <w:rPr>
      <w:rFonts w:ascii="Arial" w:hAnsi="Arial" w:eastAsia="宋体"/>
      <w:sz w:val="18"/>
      <w:szCs w:val="20"/>
      <w:lang w:val="en-GB" w:eastAsia="zh-CN"/>
    </w:rPr>
  </w:style>
  <w:style w:type="paragraph" w:customStyle="1" w:styleId="35">
    <w:name w:val="TAL"/>
    <w:basedOn w:val="1"/>
    <w:link w:val="48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6">
    <w:name w:val="TH"/>
    <w:basedOn w:val="1"/>
    <w:link w:val="37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7">
    <w:name w:val="TH Char"/>
    <w:link w:val="36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8">
    <w:name w:val="TAC Char"/>
    <w:link w:val="34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39">
    <w:name w:val="TAH Car"/>
    <w:link w:val="33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1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2">
    <w:name w:val="RAN4 proposal"/>
    <w:basedOn w:val="5"/>
    <w:next w:val="1"/>
    <w:link w:val="43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3">
    <w:name w:val="RAN4 proposal Char"/>
    <w:link w:val="42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4">
    <w:name w:val="List Paragraph Char"/>
    <w:link w:val="28"/>
    <w:qFormat/>
    <w:uiPriority w:val="34"/>
    <w:rPr>
      <w:kern w:val="2"/>
      <w:sz w:val="21"/>
      <w:szCs w:val="22"/>
    </w:rPr>
  </w:style>
  <w:style w:type="character" w:customStyle="1" w:styleId="45">
    <w:name w:val="ZGSM"/>
    <w:qFormat/>
    <w:uiPriority w:val="0"/>
  </w:style>
  <w:style w:type="character" w:customStyle="1" w:styleId="46">
    <w:name w:val="Date Char"/>
    <w:link w:val="11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8">
    <w:name w:val="TAL Char"/>
    <w:link w:val="35"/>
    <w:qFormat/>
    <w:uiPriority w:val="0"/>
    <w:rPr>
      <w:rFonts w:ascii="Arial" w:hAnsi="Arial"/>
      <w:sz w:val="18"/>
      <w:lang w:val="en-GB" w:eastAsia="en-US"/>
    </w:rPr>
  </w:style>
  <w:style w:type="character" w:customStyle="1" w:styleId="49">
    <w:name w:val="Heading 3 Char"/>
    <w:link w:val="4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0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1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paragraph" w:customStyle="1" w:styleId="52">
    <w:name w:val="TAN"/>
    <w:basedOn w:val="35"/>
    <w:qFormat/>
    <w:uiPriority w:val="0"/>
    <w:pPr>
      <w:ind w:left="851" w:hanging="851"/>
    </w:pPr>
  </w:style>
  <w:style w:type="character" w:customStyle="1" w:styleId="53">
    <w:name w:val="normaltextrun"/>
    <w:basedOn w:val="18"/>
    <w:qFormat/>
    <w:uiPriority w:val="0"/>
  </w:style>
  <w:style w:type="character" w:customStyle="1" w:styleId="54">
    <w:name w:val="eop"/>
    <w:basedOn w:val="18"/>
    <w:qFormat/>
    <w:uiPriority w:val="0"/>
  </w:style>
  <w:style w:type="paragraph" w:customStyle="1" w:styleId="55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56">
    <w:name w:val="List Paragraph1"/>
    <w:basedOn w:val="1"/>
    <w:qFormat/>
    <w:uiPriority w:val="34"/>
    <w:pPr>
      <w:overflowPunct w:val="0"/>
      <w:autoSpaceDE w:val="0"/>
      <w:autoSpaceDN w:val="0"/>
      <w:adjustRightInd w:val="0"/>
      <w:spacing w:line="276" w:lineRule="auto"/>
      <w:ind w:firstLine="420" w:firstLineChars="200"/>
      <w:textAlignment w:val="baseline"/>
    </w:pPr>
    <w:rPr>
      <w:rFonts w:eastAsia="MS Mincho"/>
    </w:rPr>
  </w:style>
  <w:style w:type="paragraph" w:customStyle="1" w:styleId="57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58">
    <w:name w:val="样式3"/>
    <w:basedOn w:val="28"/>
    <w:qFormat/>
    <w:uiPriority w:val="0"/>
    <w:pPr>
      <w:numPr>
        <w:ilvl w:val="1"/>
        <w:numId w:val="3"/>
      </w:numPr>
      <w:spacing w:after="120"/>
      <w:ind w:firstLine="0"/>
    </w:pPr>
    <w:rPr>
      <w:rFonts w:ascii="Times New Roman" w:hAnsi="Times New Roman" w:eastAsia="宋体" w:cs="Times New Roman"/>
      <w:sz w:val="20"/>
      <w:szCs w:val="24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548</Words>
  <Characters>3128</Characters>
  <Lines>26</Lines>
  <Paragraphs>7</Paragraphs>
  <TotalTime>0</TotalTime>
  <ScaleCrop>false</ScaleCrop>
  <LinksUpToDate>false</LinksUpToDate>
  <CharactersWithSpaces>3669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Aijun CAO</dc:creator>
  <cp:lastModifiedBy>ZTE</cp:lastModifiedBy>
  <cp:lastPrinted>2015-02-02T11:17:00Z</cp:lastPrinted>
  <dcterms:modified xsi:type="dcterms:W3CDTF">2023-11-03T16:19:43Z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C4DBDF87124D4C7EBEE65EDD26358105</vt:lpwstr>
  </property>
</Properties>
</file>